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B3A" w:rsidRPr="00415B3A" w:rsidRDefault="00415B3A" w:rsidP="00415B3A">
      <w:pPr>
        <w:spacing w:after="0" w:line="240" w:lineRule="auto"/>
        <w:outlineLvl w:val="0"/>
        <w:rPr>
          <w:rFonts w:ascii="inherit" w:eastAsia="Times New Roman" w:hAnsi="inherit" w:cs="Segoe UI Light"/>
          <w:b/>
          <w:bCs/>
          <w:color w:val="201647"/>
          <w:spacing w:val="-9"/>
          <w:kern w:val="36"/>
          <w:sz w:val="46"/>
          <w:szCs w:val="46"/>
          <w:lang w:val="en" w:eastAsia="en-AU"/>
        </w:rPr>
      </w:pPr>
      <w:r w:rsidRPr="00415B3A">
        <w:rPr>
          <w:rFonts w:ascii="inherit" w:eastAsia="Times New Roman" w:hAnsi="inherit" w:cs="Segoe UI Light"/>
          <w:b/>
          <w:bCs/>
          <w:color w:val="201647"/>
          <w:spacing w:val="-9"/>
          <w:kern w:val="36"/>
          <w:sz w:val="46"/>
          <w:szCs w:val="46"/>
          <w:lang w:val="en" w:eastAsia="en-AU"/>
        </w:rPr>
        <w:t xml:space="preserve">Study Leave - Teaching Service </w:t>
      </w:r>
    </w:p>
    <w:p w:rsidR="00415B3A" w:rsidRPr="00415B3A" w:rsidRDefault="00415B3A" w:rsidP="00415B3A">
      <w:pPr>
        <w:spacing w:after="0" w:line="240" w:lineRule="auto"/>
        <w:rPr>
          <w:rFonts w:ascii="Vic" w:eastAsia="Times New Roman" w:hAnsi="Vic" w:cs="Segoe UI"/>
          <w:vanish/>
          <w:color w:val="0B0C1D"/>
          <w:sz w:val="20"/>
          <w:szCs w:val="20"/>
          <w:lang w:val="en" w:eastAsia="en-AU"/>
        </w:rPr>
      </w:pPr>
      <w:r w:rsidRPr="00415B3A">
        <w:rPr>
          <w:rFonts w:ascii="Vic" w:eastAsia="Times New Roman" w:hAnsi="Vic" w:cs="Segoe UI"/>
          <w:vanish/>
          <w:color w:val="0B0C1D"/>
          <w:sz w:val="20"/>
          <w:szCs w:val="20"/>
          <w:lang w:val="en" w:eastAsia="en-AU"/>
        </w:rPr>
        <w:t>Page Content</w:t>
      </w:r>
    </w:p>
    <w:p w:rsidR="00415B3A" w:rsidRPr="00415B3A" w:rsidRDefault="00415B3A" w:rsidP="00415B3A">
      <w:pPr>
        <w:spacing w:after="0" w:line="240" w:lineRule="auto"/>
        <w:outlineLvl w:val="1"/>
        <w:rPr>
          <w:rFonts w:ascii="inherit" w:eastAsia="Times New Roman" w:hAnsi="inherit" w:cs="Segoe UI Semilight"/>
          <w:b/>
          <w:bCs/>
          <w:color w:val="262626"/>
          <w:sz w:val="29"/>
          <w:szCs w:val="29"/>
          <w:lang w:val="en" w:eastAsia="en-AU"/>
        </w:rPr>
      </w:pPr>
      <w:r w:rsidRPr="00415B3A">
        <w:rPr>
          <w:rFonts w:ascii="inherit" w:eastAsia="Times New Roman" w:hAnsi="inherit" w:cs="Segoe UI Semilight"/>
          <w:b/>
          <w:bCs/>
          <w:color w:val="262626"/>
          <w:sz w:val="29"/>
          <w:szCs w:val="29"/>
          <w:lang w:val="en" w:eastAsia="en-AU"/>
        </w:rPr>
        <w:t>Overview</w:t>
      </w:r>
    </w:p>
    <w:p w:rsidR="00415B3A" w:rsidRPr="00415B3A" w:rsidRDefault="00415B3A" w:rsidP="00415B3A">
      <w:pPr>
        <w:spacing w:after="0" w:line="240" w:lineRule="auto"/>
        <w:rPr>
          <w:rFonts w:ascii="inherit" w:eastAsia="Times New Roman" w:hAnsi="inherit" w:cs="Segoe UI"/>
          <w:color w:val="0B0C1D"/>
          <w:sz w:val="20"/>
          <w:szCs w:val="20"/>
          <w:lang w:val="en" w:eastAsia="en-AU"/>
        </w:rPr>
      </w:pPr>
      <w:r w:rsidRPr="00415B3A">
        <w:rPr>
          <w:rFonts w:ascii="inherit" w:eastAsia="Times New Roman" w:hAnsi="inherit" w:cs="Segoe UI"/>
          <w:color w:val="0B0C1D"/>
          <w:sz w:val="20"/>
          <w:szCs w:val="20"/>
          <w:lang w:val="en" w:eastAsia="en-AU"/>
        </w:rPr>
        <w:t xml:space="preserve">Study leave with or without pay may be granted to employees in the teaching service. Study leave is one of a range of professional learning options covering both formal and informal training and resources for employees in the teaching service to build the capacity of the workforce to improve student learning outcomes. Information about other professional learning options is available at: </w:t>
      </w:r>
      <w:hyperlink r:id="rId5" w:history="1">
        <w:r w:rsidRPr="00415B3A">
          <w:rPr>
            <w:rFonts w:ascii="inherit" w:eastAsia="Times New Roman" w:hAnsi="inherit" w:cs="Segoe UI"/>
            <w:color w:val="0000FF"/>
            <w:sz w:val="20"/>
            <w:szCs w:val="20"/>
            <w:u w:val="single"/>
            <w:lang w:val="en" w:eastAsia="en-AU"/>
          </w:rPr>
          <w:t>Professional Development</w:t>
        </w:r>
      </w:hyperlink>
    </w:p>
    <w:p w:rsidR="00415B3A" w:rsidRPr="00415B3A" w:rsidRDefault="00415B3A" w:rsidP="00415B3A">
      <w:pPr>
        <w:spacing w:after="0" w:line="240" w:lineRule="auto"/>
        <w:rPr>
          <w:rFonts w:ascii="inherit" w:eastAsia="Times New Roman" w:hAnsi="inherit" w:cs="Segoe UI"/>
          <w:color w:val="0B0C1D"/>
          <w:sz w:val="20"/>
          <w:szCs w:val="20"/>
          <w:lang w:val="en" w:eastAsia="en-AU"/>
        </w:rPr>
      </w:pPr>
      <w:r w:rsidRPr="00415B3A">
        <w:rPr>
          <w:rFonts w:ascii="inherit" w:eastAsia="Times New Roman" w:hAnsi="inherit" w:cs="Segoe UI"/>
          <w:color w:val="0B0C1D"/>
          <w:sz w:val="20"/>
          <w:szCs w:val="20"/>
          <w:lang w:val="en" w:eastAsia="en-AU"/>
        </w:rPr>
        <w:t>The purpose of study leave is to enable an employee to pursue a course of studies or training or to undertake research which would improve the potential of the employee to serve the State in the teaching service.</w:t>
      </w:r>
    </w:p>
    <w:p w:rsidR="00415B3A" w:rsidRPr="00415B3A" w:rsidRDefault="00415B3A" w:rsidP="00415B3A">
      <w:pPr>
        <w:spacing w:after="0" w:line="240" w:lineRule="auto"/>
        <w:rPr>
          <w:rFonts w:ascii="inherit" w:eastAsia="Times New Roman" w:hAnsi="inherit" w:cs="Segoe UI"/>
          <w:color w:val="0B0C1D"/>
          <w:sz w:val="20"/>
          <w:szCs w:val="20"/>
          <w:lang w:val="en" w:eastAsia="en-AU"/>
        </w:rPr>
      </w:pPr>
      <w:r w:rsidRPr="00415B3A">
        <w:rPr>
          <w:rFonts w:ascii="inherit" w:eastAsia="Times New Roman" w:hAnsi="inherit" w:cs="Segoe UI"/>
          <w:color w:val="0B0C1D"/>
          <w:sz w:val="20"/>
          <w:szCs w:val="20"/>
          <w:lang w:val="en" w:eastAsia="en-AU"/>
        </w:rPr>
        <w:t xml:space="preserve">Study leave may be granted where classes are not available outside normal working hours, for attendance at lectures, seminars and tutorials or other course requirements. </w:t>
      </w:r>
    </w:p>
    <w:p w:rsidR="00415B3A" w:rsidRPr="00415B3A" w:rsidRDefault="00415B3A" w:rsidP="00415B3A">
      <w:pPr>
        <w:spacing w:after="0" w:line="240" w:lineRule="auto"/>
        <w:rPr>
          <w:rFonts w:ascii="inherit" w:eastAsia="Times New Roman" w:hAnsi="inherit" w:cs="Segoe UI"/>
          <w:color w:val="0B0C1D"/>
          <w:sz w:val="20"/>
          <w:szCs w:val="20"/>
          <w:lang w:val="en" w:eastAsia="en-AU"/>
        </w:rPr>
      </w:pPr>
      <w:r w:rsidRPr="00415B3A">
        <w:rPr>
          <w:rFonts w:ascii="inherit" w:eastAsia="Times New Roman" w:hAnsi="inherit" w:cs="Segoe UI"/>
          <w:color w:val="0B0C1D"/>
          <w:sz w:val="20"/>
          <w:szCs w:val="20"/>
          <w:lang w:val="en" w:eastAsia="en-AU"/>
        </w:rPr>
        <w:t xml:space="preserve">Study leave is generally not granted where the study can be undertaken outside business hours, however, in special circumstances, leave may be granted for attendance at classes held during working hours even when such classes are available outside normal hours of duty. Special circumstances would include situations such as an unavoidable clash in night lectures or pressing family and/or </w:t>
      </w:r>
      <w:proofErr w:type="spellStart"/>
      <w:r w:rsidRPr="00415B3A">
        <w:rPr>
          <w:rFonts w:ascii="inherit" w:eastAsia="Times New Roman" w:hAnsi="inherit" w:cs="Segoe UI"/>
          <w:color w:val="0B0C1D"/>
          <w:sz w:val="20"/>
          <w:szCs w:val="20"/>
          <w:lang w:val="en" w:eastAsia="en-AU"/>
        </w:rPr>
        <w:t>carer</w:t>
      </w:r>
      <w:proofErr w:type="spellEnd"/>
      <w:r w:rsidRPr="00415B3A">
        <w:rPr>
          <w:rFonts w:ascii="inherit" w:eastAsia="Times New Roman" w:hAnsi="inherit" w:cs="Segoe UI"/>
          <w:color w:val="0B0C1D"/>
          <w:sz w:val="20"/>
          <w:szCs w:val="20"/>
          <w:lang w:val="en" w:eastAsia="en-AU"/>
        </w:rPr>
        <w:t xml:space="preserve"> responsibilities.</w:t>
      </w:r>
    </w:p>
    <w:p w:rsidR="00415B3A" w:rsidRPr="00415B3A" w:rsidRDefault="00415B3A" w:rsidP="00415B3A">
      <w:pPr>
        <w:spacing w:after="0" w:line="240" w:lineRule="auto"/>
        <w:rPr>
          <w:rFonts w:ascii="inherit" w:eastAsia="Times New Roman" w:hAnsi="inherit" w:cs="Segoe UI"/>
          <w:color w:val="0B0C1D"/>
          <w:sz w:val="20"/>
          <w:szCs w:val="20"/>
          <w:lang w:val="en" w:eastAsia="en-AU"/>
        </w:rPr>
      </w:pPr>
      <w:r w:rsidRPr="00415B3A">
        <w:rPr>
          <w:rFonts w:ascii="inherit" w:eastAsia="Times New Roman" w:hAnsi="inherit" w:cs="Segoe UI"/>
          <w:color w:val="0B0C1D"/>
          <w:sz w:val="20"/>
          <w:szCs w:val="20"/>
          <w:lang w:val="en" w:eastAsia="en-AU"/>
        </w:rPr>
        <w:t>The principal of each school is responsible for determining study leave applications from assistant principals, teachers and education support class employees in their school. The Regional Director is responsible for determining study leave applications from principals in their Region. </w:t>
      </w:r>
    </w:p>
    <w:p w:rsidR="00415B3A" w:rsidRPr="00415B3A" w:rsidRDefault="00415B3A" w:rsidP="00415B3A">
      <w:pPr>
        <w:spacing w:after="0" w:line="240" w:lineRule="auto"/>
        <w:rPr>
          <w:rFonts w:ascii="inherit" w:eastAsia="Times New Roman" w:hAnsi="inherit" w:cs="Segoe UI"/>
          <w:color w:val="0B0C1D"/>
          <w:sz w:val="20"/>
          <w:szCs w:val="20"/>
          <w:lang w:val="en" w:eastAsia="en-AU"/>
        </w:rPr>
      </w:pPr>
      <w:r w:rsidRPr="00415B3A">
        <w:rPr>
          <w:rFonts w:ascii="inherit" w:eastAsia="Times New Roman" w:hAnsi="inherit" w:cs="Segoe UI"/>
          <w:color w:val="0B0C1D"/>
          <w:sz w:val="20"/>
          <w:szCs w:val="20"/>
          <w:lang w:val="en" w:eastAsia="en-AU"/>
        </w:rPr>
        <w:t>Applications for study leave should include details of the course to be undertaken, a copy of the course timetable and details of the leave requested.</w:t>
      </w:r>
    </w:p>
    <w:p w:rsidR="00415B3A" w:rsidRPr="00415B3A" w:rsidRDefault="00415B3A" w:rsidP="00415B3A">
      <w:pPr>
        <w:spacing w:after="0" w:line="240" w:lineRule="auto"/>
        <w:rPr>
          <w:rFonts w:ascii="inherit" w:eastAsia="Times New Roman" w:hAnsi="inherit" w:cs="Segoe UI"/>
          <w:color w:val="0B0C1D"/>
          <w:sz w:val="20"/>
          <w:szCs w:val="20"/>
          <w:lang w:val="en" w:eastAsia="en-AU"/>
        </w:rPr>
      </w:pPr>
      <w:r w:rsidRPr="00415B3A">
        <w:rPr>
          <w:rFonts w:ascii="inherit" w:eastAsia="Times New Roman" w:hAnsi="inherit" w:cs="Segoe UI"/>
          <w:color w:val="0B0C1D"/>
          <w:sz w:val="20"/>
          <w:szCs w:val="20"/>
          <w:lang w:val="en" w:eastAsia="en-AU"/>
        </w:rPr>
        <w:t xml:space="preserve">Details of the leave approved and ongoing review requirements should be documented and provided to the employee prior to the commencement of the study leave. </w:t>
      </w:r>
      <w:r w:rsidRPr="00415B3A">
        <w:rPr>
          <w:rFonts w:ascii="inherit" w:eastAsia="Times New Roman" w:hAnsi="inherit" w:cs="Segoe UI"/>
          <w:color w:val="0B0C1D"/>
          <w:sz w:val="20"/>
          <w:szCs w:val="20"/>
          <w:lang w:val="en" w:eastAsia="en-AU"/>
        </w:rPr>
        <w:br/>
      </w:r>
      <w:r w:rsidRPr="00415B3A">
        <w:rPr>
          <w:rFonts w:ascii="inherit" w:eastAsia="Times New Roman" w:hAnsi="inherit" w:cs="Segoe UI"/>
          <w:color w:val="0B0C1D"/>
          <w:sz w:val="20"/>
          <w:szCs w:val="20"/>
          <w:lang w:val="en" w:eastAsia="en-AU"/>
        </w:rPr>
        <w:br/>
        <w:t xml:space="preserve">Ongoing review requirements must include provision for an employee to satisfy their principal or regional director that satisfactory progress is being made in the course of study. </w:t>
      </w:r>
    </w:p>
    <w:p w:rsidR="00415B3A" w:rsidRPr="00415B3A" w:rsidRDefault="00415B3A" w:rsidP="00415B3A">
      <w:pPr>
        <w:spacing w:after="0" w:line="240" w:lineRule="auto"/>
        <w:rPr>
          <w:rFonts w:ascii="inherit" w:eastAsia="Times New Roman" w:hAnsi="inherit" w:cs="Segoe UI"/>
          <w:color w:val="0B0C1D"/>
          <w:sz w:val="20"/>
          <w:szCs w:val="20"/>
          <w:lang w:val="en" w:eastAsia="en-AU"/>
        </w:rPr>
      </w:pPr>
      <w:r w:rsidRPr="00415B3A">
        <w:rPr>
          <w:rFonts w:ascii="inherit" w:eastAsia="Times New Roman" w:hAnsi="inherit" w:cs="Segoe UI"/>
          <w:color w:val="0B0C1D"/>
          <w:sz w:val="20"/>
          <w:szCs w:val="20"/>
          <w:lang w:val="en" w:eastAsia="en-AU"/>
        </w:rPr>
        <w:t xml:space="preserve">Should the delegate form the view that that the employee is no longer participating in the course of study, or is making insufficient progress, study leave approval may be withdrawn subject to sufficient notice being </w:t>
      </w:r>
      <w:proofErr w:type="gramStart"/>
      <w:r w:rsidRPr="00415B3A">
        <w:rPr>
          <w:rFonts w:ascii="inherit" w:eastAsia="Times New Roman" w:hAnsi="inherit" w:cs="Segoe UI"/>
          <w:color w:val="0B0C1D"/>
          <w:sz w:val="20"/>
          <w:szCs w:val="20"/>
          <w:lang w:val="en" w:eastAsia="en-AU"/>
        </w:rPr>
        <w:t>given.</w:t>
      </w:r>
      <w:proofErr w:type="gramEnd"/>
    </w:p>
    <w:p w:rsidR="00415B3A" w:rsidRPr="00415B3A" w:rsidRDefault="00415B3A" w:rsidP="00415B3A">
      <w:pPr>
        <w:spacing w:after="0" w:line="240" w:lineRule="auto"/>
        <w:rPr>
          <w:rFonts w:ascii="inherit" w:eastAsia="Times New Roman" w:hAnsi="inherit" w:cs="Segoe UI"/>
          <w:color w:val="0B0C1D"/>
          <w:sz w:val="20"/>
          <w:szCs w:val="20"/>
          <w:lang w:val="en" w:eastAsia="en-AU"/>
        </w:rPr>
      </w:pPr>
      <w:r w:rsidRPr="00415B3A">
        <w:rPr>
          <w:rFonts w:ascii="inherit" w:eastAsia="Times New Roman" w:hAnsi="inherit" w:cs="Segoe UI"/>
          <w:color w:val="0B0C1D"/>
          <w:sz w:val="20"/>
          <w:szCs w:val="20"/>
          <w:lang w:val="en" w:eastAsia="en-AU"/>
        </w:rPr>
        <w:t>Where a principal has approved study leave for an employee that includes a practicum component, the principal may consider one or more of the following options to cover the employee's absence:</w:t>
      </w:r>
    </w:p>
    <w:p w:rsidR="00415B3A" w:rsidRPr="00415B3A" w:rsidRDefault="00415B3A" w:rsidP="00415B3A">
      <w:pPr>
        <w:numPr>
          <w:ilvl w:val="0"/>
          <w:numId w:val="1"/>
        </w:numPr>
        <w:spacing w:after="0" w:line="240" w:lineRule="auto"/>
        <w:ind w:left="0"/>
        <w:rPr>
          <w:rFonts w:ascii="inherit" w:eastAsia="Times New Roman" w:hAnsi="inherit" w:cs="Segoe UI"/>
          <w:color w:val="0B0C1D"/>
          <w:sz w:val="20"/>
          <w:szCs w:val="20"/>
          <w:lang w:val="en" w:eastAsia="en-AU"/>
        </w:rPr>
      </w:pPr>
      <w:r w:rsidRPr="00415B3A">
        <w:rPr>
          <w:rFonts w:ascii="inherit" w:eastAsia="Times New Roman" w:hAnsi="inherit" w:cs="Segoe UI"/>
          <w:color w:val="0B0C1D"/>
          <w:sz w:val="20"/>
          <w:szCs w:val="20"/>
          <w:lang w:val="en" w:eastAsia="en-AU"/>
        </w:rPr>
        <w:t>internal coverage by arrangement within the school;</w:t>
      </w:r>
    </w:p>
    <w:p w:rsidR="00415B3A" w:rsidRPr="00415B3A" w:rsidRDefault="00415B3A" w:rsidP="00415B3A">
      <w:pPr>
        <w:numPr>
          <w:ilvl w:val="0"/>
          <w:numId w:val="1"/>
        </w:numPr>
        <w:spacing w:after="0" w:line="240" w:lineRule="auto"/>
        <w:ind w:left="0"/>
        <w:rPr>
          <w:rFonts w:ascii="inherit" w:eastAsia="Times New Roman" w:hAnsi="inherit" w:cs="Segoe UI"/>
          <w:color w:val="0B0C1D"/>
          <w:sz w:val="20"/>
          <w:szCs w:val="20"/>
          <w:lang w:val="en" w:eastAsia="en-AU"/>
        </w:rPr>
      </w:pPr>
      <w:r w:rsidRPr="00415B3A">
        <w:rPr>
          <w:rFonts w:ascii="inherit" w:eastAsia="Times New Roman" w:hAnsi="inherit" w:cs="Segoe UI"/>
          <w:color w:val="0B0C1D"/>
          <w:sz w:val="20"/>
          <w:szCs w:val="20"/>
          <w:lang w:val="en" w:eastAsia="en-AU"/>
        </w:rPr>
        <w:t>a temporary exchange with an employee from another school;</w:t>
      </w:r>
    </w:p>
    <w:p w:rsidR="00415B3A" w:rsidRPr="00415B3A" w:rsidRDefault="00415B3A" w:rsidP="00415B3A">
      <w:pPr>
        <w:numPr>
          <w:ilvl w:val="0"/>
          <w:numId w:val="1"/>
        </w:numPr>
        <w:spacing w:after="0" w:line="240" w:lineRule="auto"/>
        <w:ind w:left="0"/>
        <w:rPr>
          <w:rFonts w:ascii="inherit" w:eastAsia="Times New Roman" w:hAnsi="inherit" w:cs="Segoe UI"/>
          <w:color w:val="0B0C1D"/>
          <w:sz w:val="20"/>
          <w:szCs w:val="20"/>
          <w:lang w:val="en" w:eastAsia="en-AU"/>
        </w:rPr>
      </w:pPr>
      <w:proofErr w:type="gramStart"/>
      <w:r w:rsidRPr="00415B3A">
        <w:rPr>
          <w:rFonts w:ascii="inherit" w:eastAsia="Times New Roman" w:hAnsi="inherit" w:cs="Segoe UI"/>
          <w:color w:val="0B0C1D"/>
          <w:sz w:val="20"/>
          <w:szCs w:val="20"/>
          <w:lang w:val="en" w:eastAsia="en-AU"/>
        </w:rPr>
        <w:t>employment</w:t>
      </w:r>
      <w:proofErr w:type="gramEnd"/>
      <w:r w:rsidRPr="00415B3A">
        <w:rPr>
          <w:rFonts w:ascii="inherit" w:eastAsia="Times New Roman" w:hAnsi="inherit" w:cs="Segoe UI"/>
          <w:color w:val="0B0C1D"/>
          <w:sz w:val="20"/>
          <w:szCs w:val="20"/>
          <w:lang w:val="en" w:eastAsia="en-AU"/>
        </w:rPr>
        <w:t xml:space="preserve"> of a casual replacement or an employee on a fixed term basis.</w:t>
      </w:r>
    </w:p>
    <w:p w:rsidR="00415B3A" w:rsidRPr="00415B3A" w:rsidRDefault="00415B3A" w:rsidP="00415B3A">
      <w:pPr>
        <w:spacing w:after="0" w:line="240" w:lineRule="auto"/>
        <w:rPr>
          <w:rFonts w:ascii="inherit" w:eastAsia="Times New Roman" w:hAnsi="inherit" w:cs="Segoe UI"/>
          <w:color w:val="0B0C1D"/>
          <w:sz w:val="20"/>
          <w:szCs w:val="20"/>
          <w:lang w:val="en" w:eastAsia="en-AU"/>
        </w:rPr>
      </w:pPr>
      <w:r w:rsidRPr="00415B3A">
        <w:rPr>
          <w:rFonts w:ascii="inherit" w:eastAsia="Times New Roman" w:hAnsi="inherit" w:cs="Segoe UI"/>
          <w:color w:val="0B0C1D"/>
          <w:sz w:val="20"/>
          <w:szCs w:val="20"/>
          <w:lang w:val="en" w:eastAsia="en-AU"/>
        </w:rPr>
        <w:t xml:space="preserve">Study leave granted with or without pay under clause 6.18.1(2) of Ministerial Order 1038 is </w:t>
      </w:r>
      <w:proofErr w:type="spellStart"/>
      <w:r w:rsidRPr="00415B3A">
        <w:rPr>
          <w:rFonts w:ascii="inherit" w:eastAsia="Times New Roman" w:hAnsi="inherit" w:cs="Segoe UI"/>
          <w:color w:val="0B0C1D"/>
          <w:sz w:val="20"/>
          <w:szCs w:val="20"/>
          <w:lang w:val="en" w:eastAsia="en-AU"/>
        </w:rPr>
        <w:t>recognised</w:t>
      </w:r>
      <w:proofErr w:type="spellEnd"/>
      <w:r w:rsidRPr="00415B3A">
        <w:rPr>
          <w:rFonts w:ascii="inherit" w:eastAsia="Times New Roman" w:hAnsi="inherit" w:cs="Segoe UI"/>
          <w:color w:val="0B0C1D"/>
          <w:sz w:val="20"/>
          <w:szCs w:val="20"/>
          <w:lang w:val="en" w:eastAsia="en-AU"/>
        </w:rPr>
        <w:t xml:space="preserve"> as service for all purposes.</w:t>
      </w:r>
    </w:p>
    <w:p w:rsidR="00415B3A" w:rsidRPr="00415B3A" w:rsidRDefault="00415B3A" w:rsidP="00415B3A">
      <w:pPr>
        <w:spacing w:after="0" w:line="240" w:lineRule="auto"/>
        <w:outlineLvl w:val="1"/>
        <w:rPr>
          <w:rFonts w:ascii="inherit" w:eastAsia="Times New Roman" w:hAnsi="inherit" w:cs="Segoe UI Semilight"/>
          <w:b/>
          <w:bCs/>
          <w:color w:val="262626"/>
          <w:sz w:val="29"/>
          <w:szCs w:val="29"/>
          <w:lang w:val="en" w:eastAsia="en-AU"/>
        </w:rPr>
      </w:pPr>
      <w:r w:rsidRPr="00415B3A">
        <w:rPr>
          <w:rFonts w:ascii="inherit" w:eastAsia="Times New Roman" w:hAnsi="inherit" w:cs="Segoe UI Semilight"/>
          <w:b/>
          <w:bCs/>
          <w:color w:val="262626"/>
          <w:sz w:val="29"/>
          <w:szCs w:val="29"/>
          <w:lang w:val="en" w:eastAsia="en-AU"/>
        </w:rPr>
        <w:t>Unpaid Study Leave</w:t>
      </w:r>
    </w:p>
    <w:p w:rsidR="00415B3A" w:rsidRPr="00415B3A" w:rsidRDefault="00415B3A" w:rsidP="00415B3A">
      <w:pPr>
        <w:spacing w:after="0" w:line="240" w:lineRule="auto"/>
        <w:rPr>
          <w:rFonts w:ascii="inherit" w:eastAsia="Times New Roman" w:hAnsi="inherit" w:cs="Segoe UI"/>
          <w:color w:val="0B0C1D"/>
          <w:sz w:val="20"/>
          <w:szCs w:val="20"/>
          <w:lang w:val="en" w:eastAsia="en-AU"/>
        </w:rPr>
      </w:pPr>
      <w:r w:rsidRPr="00415B3A">
        <w:rPr>
          <w:rFonts w:ascii="inherit" w:eastAsia="Times New Roman" w:hAnsi="inherit" w:cs="Segoe UI"/>
          <w:color w:val="0B0C1D"/>
          <w:sz w:val="20"/>
          <w:szCs w:val="20"/>
          <w:lang w:val="en" w:eastAsia="en-AU"/>
        </w:rPr>
        <w:t>Applications for unpaid study leave are considered having regard to the following criteria:</w:t>
      </w:r>
    </w:p>
    <w:p w:rsidR="00415B3A" w:rsidRPr="00415B3A" w:rsidRDefault="00415B3A" w:rsidP="00415B3A">
      <w:pPr>
        <w:numPr>
          <w:ilvl w:val="0"/>
          <w:numId w:val="2"/>
        </w:numPr>
        <w:spacing w:after="0" w:line="240" w:lineRule="auto"/>
        <w:ind w:left="0"/>
        <w:rPr>
          <w:rFonts w:ascii="inherit" w:eastAsia="Times New Roman" w:hAnsi="inherit" w:cs="Segoe UI"/>
          <w:color w:val="0B0C1D"/>
          <w:sz w:val="20"/>
          <w:szCs w:val="20"/>
          <w:lang w:val="en" w:eastAsia="en-AU"/>
        </w:rPr>
      </w:pPr>
      <w:r w:rsidRPr="00415B3A">
        <w:rPr>
          <w:rFonts w:ascii="inherit" w:eastAsia="Times New Roman" w:hAnsi="inherit" w:cs="Segoe UI"/>
          <w:color w:val="0B0C1D"/>
          <w:sz w:val="20"/>
          <w:szCs w:val="20"/>
          <w:lang w:val="en" w:eastAsia="en-AU"/>
        </w:rPr>
        <w:t>relevance of the study or research to the priorities of the school/Department;</w:t>
      </w:r>
    </w:p>
    <w:p w:rsidR="00415B3A" w:rsidRPr="00415B3A" w:rsidRDefault="00415B3A" w:rsidP="00415B3A">
      <w:pPr>
        <w:numPr>
          <w:ilvl w:val="0"/>
          <w:numId w:val="2"/>
        </w:numPr>
        <w:spacing w:after="0" w:line="240" w:lineRule="auto"/>
        <w:ind w:left="0"/>
        <w:rPr>
          <w:rFonts w:ascii="inherit" w:eastAsia="Times New Roman" w:hAnsi="inherit" w:cs="Segoe UI"/>
          <w:color w:val="0B0C1D"/>
          <w:sz w:val="20"/>
          <w:szCs w:val="20"/>
          <w:lang w:val="en" w:eastAsia="en-AU"/>
        </w:rPr>
      </w:pPr>
      <w:r w:rsidRPr="00415B3A">
        <w:rPr>
          <w:rFonts w:ascii="inherit" w:eastAsia="Times New Roman" w:hAnsi="inherit" w:cs="Segoe UI"/>
          <w:color w:val="0B0C1D"/>
          <w:sz w:val="20"/>
          <w:szCs w:val="20"/>
          <w:lang w:val="en" w:eastAsia="en-AU"/>
        </w:rPr>
        <w:t>relevance of the study or research to the present or future duties of the applicant;</w:t>
      </w:r>
    </w:p>
    <w:p w:rsidR="00415B3A" w:rsidRPr="00415B3A" w:rsidRDefault="00415B3A" w:rsidP="00415B3A">
      <w:pPr>
        <w:numPr>
          <w:ilvl w:val="0"/>
          <w:numId w:val="2"/>
        </w:numPr>
        <w:spacing w:after="0" w:line="240" w:lineRule="auto"/>
        <w:ind w:left="0"/>
        <w:rPr>
          <w:rFonts w:ascii="inherit" w:eastAsia="Times New Roman" w:hAnsi="inherit" w:cs="Segoe UI"/>
          <w:color w:val="0B0C1D"/>
          <w:sz w:val="20"/>
          <w:szCs w:val="20"/>
          <w:lang w:val="en" w:eastAsia="en-AU"/>
        </w:rPr>
      </w:pPr>
      <w:proofErr w:type="gramStart"/>
      <w:r w:rsidRPr="00415B3A">
        <w:rPr>
          <w:rFonts w:ascii="inherit" w:eastAsia="Times New Roman" w:hAnsi="inherit" w:cs="Segoe UI"/>
          <w:color w:val="0B0C1D"/>
          <w:sz w:val="20"/>
          <w:szCs w:val="20"/>
          <w:lang w:val="en" w:eastAsia="en-AU"/>
        </w:rPr>
        <w:t>the</w:t>
      </w:r>
      <w:proofErr w:type="gramEnd"/>
      <w:r w:rsidRPr="00415B3A">
        <w:rPr>
          <w:rFonts w:ascii="inherit" w:eastAsia="Times New Roman" w:hAnsi="inherit" w:cs="Segoe UI"/>
          <w:color w:val="0B0C1D"/>
          <w:sz w:val="20"/>
          <w:szCs w:val="20"/>
          <w:lang w:val="en" w:eastAsia="en-AU"/>
        </w:rPr>
        <w:t xml:space="preserve"> staffing needs of the school can accommodate the proposed study leave.</w:t>
      </w:r>
    </w:p>
    <w:p w:rsidR="00415B3A" w:rsidRPr="00415B3A" w:rsidRDefault="00415B3A" w:rsidP="00415B3A">
      <w:pPr>
        <w:spacing w:after="0" w:line="240" w:lineRule="auto"/>
        <w:outlineLvl w:val="1"/>
        <w:rPr>
          <w:rFonts w:ascii="inherit" w:eastAsia="Times New Roman" w:hAnsi="inherit" w:cs="Segoe UI Semilight"/>
          <w:b/>
          <w:bCs/>
          <w:color w:val="262626"/>
          <w:sz w:val="29"/>
          <w:szCs w:val="29"/>
          <w:lang w:val="en" w:eastAsia="en-AU"/>
        </w:rPr>
      </w:pPr>
      <w:r w:rsidRPr="00415B3A">
        <w:rPr>
          <w:rFonts w:ascii="inherit" w:eastAsia="Times New Roman" w:hAnsi="inherit" w:cs="Segoe UI Semilight"/>
          <w:b/>
          <w:bCs/>
          <w:color w:val="262626"/>
          <w:sz w:val="29"/>
          <w:szCs w:val="29"/>
          <w:lang w:val="en" w:eastAsia="en-AU"/>
        </w:rPr>
        <w:t>Paid Study Leave</w:t>
      </w:r>
    </w:p>
    <w:p w:rsidR="00415B3A" w:rsidRPr="00415B3A" w:rsidRDefault="00415B3A" w:rsidP="00415B3A">
      <w:pPr>
        <w:spacing w:after="0" w:line="240" w:lineRule="auto"/>
        <w:rPr>
          <w:rFonts w:ascii="inherit" w:eastAsia="Times New Roman" w:hAnsi="inherit" w:cs="Segoe UI"/>
          <w:color w:val="0B0C1D"/>
          <w:sz w:val="20"/>
          <w:szCs w:val="20"/>
          <w:lang w:val="en" w:eastAsia="en-AU"/>
        </w:rPr>
      </w:pPr>
      <w:r w:rsidRPr="00415B3A">
        <w:rPr>
          <w:rFonts w:ascii="inherit" w:eastAsia="Times New Roman" w:hAnsi="inherit" w:cs="Segoe UI"/>
          <w:color w:val="0B0C1D"/>
          <w:sz w:val="20"/>
          <w:szCs w:val="20"/>
          <w:lang w:val="en" w:eastAsia="en-AU"/>
        </w:rPr>
        <w:t>Applications for paid study leave are considered having regard to the following criteria:</w:t>
      </w:r>
    </w:p>
    <w:p w:rsidR="00415B3A" w:rsidRPr="00415B3A" w:rsidRDefault="00415B3A" w:rsidP="00415B3A">
      <w:pPr>
        <w:numPr>
          <w:ilvl w:val="0"/>
          <w:numId w:val="3"/>
        </w:numPr>
        <w:spacing w:after="0" w:line="240" w:lineRule="auto"/>
        <w:ind w:left="0"/>
        <w:rPr>
          <w:rFonts w:ascii="inherit" w:eastAsia="Times New Roman" w:hAnsi="inherit" w:cs="Segoe UI"/>
          <w:color w:val="0B0C1D"/>
          <w:sz w:val="20"/>
          <w:szCs w:val="20"/>
          <w:lang w:val="en" w:eastAsia="en-AU"/>
        </w:rPr>
      </w:pPr>
      <w:r w:rsidRPr="00415B3A">
        <w:rPr>
          <w:rFonts w:ascii="inherit" w:eastAsia="Times New Roman" w:hAnsi="inherit" w:cs="Segoe UI"/>
          <w:color w:val="0B0C1D"/>
          <w:sz w:val="20"/>
          <w:szCs w:val="20"/>
          <w:lang w:val="en" w:eastAsia="en-AU"/>
        </w:rPr>
        <w:t>relevance of the study or research to the priorities of the school/Department;</w:t>
      </w:r>
    </w:p>
    <w:p w:rsidR="00415B3A" w:rsidRPr="00415B3A" w:rsidRDefault="00415B3A" w:rsidP="00415B3A">
      <w:pPr>
        <w:numPr>
          <w:ilvl w:val="0"/>
          <w:numId w:val="3"/>
        </w:numPr>
        <w:spacing w:after="0" w:line="240" w:lineRule="auto"/>
        <w:ind w:left="0"/>
        <w:rPr>
          <w:rFonts w:ascii="inherit" w:eastAsia="Times New Roman" w:hAnsi="inherit" w:cs="Segoe UI"/>
          <w:color w:val="0B0C1D"/>
          <w:sz w:val="20"/>
          <w:szCs w:val="20"/>
          <w:lang w:val="en" w:eastAsia="en-AU"/>
        </w:rPr>
      </w:pPr>
      <w:r w:rsidRPr="00415B3A">
        <w:rPr>
          <w:rFonts w:ascii="inherit" w:eastAsia="Times New Roman" w:hAnsi="inherit" w:cs="Segoe UI"/>
          <w:color w:val="0B0C1D"/>
          <w:sz w:val="20"/>
          <w:szCs w:val="20"/>
          <w:lang w:val="en" w:eastAsia="en-AU"/>
        </w:rPr>
        <w:t>relevance of the study or research to the present or future duties of the applicant;</w:t>
      </w:r>
    </w:p>
    <w:p w:rsidR="00415B3A" w:rsidRPr="00415B3A" w:rsidRDefault="00415B3A" w:rsidP="00415B3A">
      <w:pPr>
        <w:numPr>
          <w:ilvl w:val="0"/>
          <w:numId w:val="3"/>
        </w:numPr>
        <w:spacing w:after="0" w:line="240" w:lineRule="auto"/>
        <w:ind w:left="0"/>
        <w:rPr>
          <w:rFonts w:ascii="inherit" w:eastAsia="Times New Roman" w:hAnsi="inherit" w:cs="Segoe UI"/>
          <w:color w:val="0B0C1D"/>
          <w:sz w:val="20"/>
          <w:szCs w:val="20"/>
          <w:lang w:val="en" w:eastAsia="en-AU"/>
        </w:rPr>
      </w:pPr>
      <w:r w:rsidRPr="00415B3A">
        <w:rPr>
          <w:rFonts w:ascii="inherit" w:eastAsia="Times New Roman" w:hAnsi="inherit" w:cs="Segoe UI"/>
          <w:color w:val="0B0C1D"/>
          <w:sz w:val="20"/>
          <w:szCs w:val="20"/>
          <w:lang w:val="en" w:eastAsia="en-AU"/>
        </w:rPr>
        <w:t>the study or research can be accommodated within the available budget;</w:t>
      </w:r>
    </w:p>
    <w:p w:rsidR="00415B3A" w:rsidRPr="00415B3A" w:rsidRDefault="00415B3A" w:rsidP="00415B3A">
      <w:pPr>
        <w:numPr>
          <w:ilvl w:val="0"/>
          <w:numId w:val="3"/>
        </w:numPr>
        <w:spacing w:after="0" w:line="240" w:lineRule="auto"/>
        <w:ind w:left="0"/>
        <w:rPr>
          <w:rFonts w:ascii="inherit" w:eastAsia="Times New Roman" w:hAnsi="inherit" w:cs="Segoe UI"/>
          <w:color w:val="0B0C1D"/>
          <w:sz w:val="20"/>
          <w:szCs w:val="20"/>
          <w:lang w:val="en" w:eastAsia="en-AU"/>
        </w:rPr>
      </w:pPr>
      <w:proofErr w:type="gramStart"/>
      <w:r w:rsidRPr="00415B3A">
        <w:rPr>
          <w:rFonts w:ascii="inherit" w:eastAsia="Times New Roman" w:hAnsi="inherit" w:cs="Segoe UI"/>
          <w:color w:val="0B0C1D"/>
          <w:sz w:val="20"/>
          <w:szCs w:val="20"/>
          <w:lang w:val="en" w:eastAsia="en-AU"/>
        </w:rPr>
        <w:t>the</w:t>
      </w:r>
      <w:proofErr w:type="gramEnd"/>
      <w:r w:rsidRPr="00415B3A">
        <w:rPr>
          <w:rFonts w:ascii="inherit" w:eastAsia="Times New Roman" w:hAnsi="inherit" w:cs="Segoe UI"/>
          <w:color w:val="0B0C1D"/>
          <w:sz w:val="20"/>
          <w:szCs w:val="20"/>
          <w:lang w:val="en" w:eastAsia="en-AU"/>
        </w:rPr>
        <w:t xml:space="preserve"> staffing needs of the school can accommodate the proposed study leave.</w:t>
      </w:r>
    </w:p>
    <w:p w:rsidR="00415B3A" w:rsidRPr="00415B3A" w:rsidRDefault="00415B3A" w:rsidP="00415B3A">
      <w:pPr>
        <w:spacing w:after="0" w:line="240" w:lineRule="auto"/>
        <w:outlineLvl w:val="1"/>
        <w:rPr>
          <w:rFonts w:ascii="inherit" w:eastAsia="Times New Roman" w:hAnsi="inherit" w:cs="Segoe UI Semilight"/>
          <w:b/>
          <w:bCs/>
          <w:color w:val="262626"/>
          <w:sz w:val="29"/>
          <w:szCs w:val="29"/>
          <w:lang w:val="en" w:eastAsia="en-AU"/>
        </w:rPr>
      </w:pPr>
      <w:r w:rsidRPr="00415B3A">
        <w:rPr>
          <w:rFonts w:ascii="inherit" w:eastAsia="Times New Roman" w:hAnsi="inherit" w:cs="Segoe UI Semilight"/>
          <w:b/>
          <w:bCs/>
          <w:color w:val="262626"/>
          <w:sz w:val="29"/>
          <w:szCs w:val="29"/>
          <w:lang w:val="en" w:eastAsia="en-AU"/>
        </w:rPr>
        <w:t>Examinations</w:t>
      </w:r>
    </w:p>
    <w:p w:rsidR="00415B3A" w:rsidRPr="00415B3A" w:rsidRDefault="00415B3A" w:rsidP="00415B3A">
      <w:pPr>
        <w:spacing w:after="0" w:line="240" w:lineRule="auto"/>
        <w:rPr>
          <w:rFonts w:ascii="inherit" w:eastAsia="Times New Roman" w:hAnsi="inherit" w:cs="Segoe UI"/>
          <w:color w:val="0B0C1D"/>
          <w:sz w:val="20"/>
          <w:szCs w:val="20"/>
          <w:lang w:val="en" w:eastAsia="en-AU"/>
        </w:rPr>
      </w:pPr>
      <w:r w:rsidRPr="00415B3A">
        <w:rPr>
          <w:rFonts w:ascii="inherit" w:eastAsia="Times New Roman" w:hAnsi="inherit" w:cs="Segoe UI"/>
          <w:color w:val="0B0C1D"/>
          <w:sz w:val="20"/>
          <w:szCs w:val="20"/>
          <w:lang w:val="en" w:eastAsia="en-AU"/>
        </w:rPr>
        <w:t>Paid leave may be granted to an employee to attend an examination associated with a course of study. Leave may be granted for the full day when the examination is in the afternoon and for a half-day when the examination is held in the morning.</w:t>
      </w:r>
    </w:p>
    <w:p w:rsidR="00415B3A" w:rsidRPr="00415B3A" w:rsidRDefault="00415B3A" w:rsidP="00415B3A">
      <w:pPr>
        <w:spacing w:after="0" w:line="240" w:lineRule="auto"/>
        <w:outlineLvl w:val="1"/>
        <w:rPr>
          <w:rFonts w:ascii="inherit" w:eastAsia="Times New Roman" w:hAnsi="inherit" w:cs="Segoe UI Semilight"/>
          <w:b/>
          <w:bCs/>
          <w:color w:val="262626"/>
          <w:sz w:val="29"/>
          <w:szCs w:val="29"/>
          <w:lang w:val="en" w:eastAsia="en-AU"/>
        </w:rPr>
      </w:pPr>
      <w:r w:rsidRPr="00415B3A">
        <w:rPr>
          <w:rFonts w:ascii="inherit" w:eastAsia="Times New Roman" w:hAnsi="inherit" w:cs="Segoe UI Semilight"/>
          <w:b/>
          <w:bCs/>
          <w:color w:val="262626"/>
          <w:sz w:val="29"/>
          <w:szCs w:val="29"/>
          <w:lang w:val="en" w:eastAsia="en-AU"/>
        </w:rPr>
        <w:t>Graduation</w:t>
      </w:r>
    </w:p>
    <w:p w:rsidR="00415B3A" w:rsidRPr="00415B3A" w:rsidRDefault="00415B3A" w:rsidP="00415B3A">
      <w:pPr>
        <w:spacing w:after="0" w:line="240" w:lineRule="auto"/>
        <w:rPr>
          <w:rFonts w:ascii="inherit" w:eastAsia="Times New Roman" w:hAnsi="inherit" w:cs="Segoe UI"/>
          <w:color w:val="0B0C1D"/>
          <w:sz w:val="20"/>
          <w:szCs w:val="20"/>
          <w:lang w:val="en" w:eastAsia="en-AU"/>
        </w:rPr>
      </w:pPr>
      <w:r w:rsidRPr="00415B3A">
        <w:rPr>
          <w:rFonts w:ascii="inherit" w:eastAsia="Times New Roman" w:hAnsi="inherit" w:cs="Segoe UI"/>
          <w:color w:val="0B0C1D"/>
          <w:sz w:val="20"/>
          <w:szCs w:val="20"/>
          <w:lang w:val="en" w:eastAsia="en-AU"/>
        </w:rPr>
        <w:t>Paid leave may be granted to an employee to attend graduation or conferring ceremonies when they have qualified for degrees or diplomas from a university. The period of leave granted should take into account the time of the ceremony and travel requirements.</w:t>
      </w:r>
    </w:p>
    <w:p w:rsidR="00415B3A" w:rsidRPr="00415B3A" w:rsidRDefault="00415B3A" w:rsidP="00415B3A">
      <w:pPr>
        <w:spacing w:after="0" w:line="240" w:lineRule="auto"/>
        <w:outlineLvl w:val="1"/>
        <w:rPr>
          <w:rFonts w:ascii="inherit" w:eastAsia="Times New Roman" w:hAnsi="inherit" w:cs="Segoe UI Semilight"/>
          <w:b/>
          <w:bCs/>
          <w:color w:val="262626"/>
          <w:sz w:val="29"/>
          <w:szCs w:val="29"/>
          <w:lang w:val="en" w:eastAsia="en-AU"/>
        </w:rPr>
      </w:pPr>
      <w:r w:rsidRPr="00415B3A">
        <w:rPr>
          <w:rFonts w:ascii="inherit" w:eastAsia="Times New Roman" w:hAnsi="inherit" w:cs="Segoe UI Semilight"/>
          <w:b/>
          <w:bCs/>
          <w:color w:val="262626"/>
          <w:sz w:val="29"/>
          <w:szCs w:val="29"/>
          <w:lang w:val="en" w:eastAsia="en-AU"/>
        </w:rPr>
        <w:t>Leave without pay</w:t>
      </w:r>
    </w:p>
    <w:p w:rsidR="00415B3A" w:rsidRPr="00415B3A" w:rsidRDefault="00415B3A" w:rsidP="00415B3A">
      <w:pPr>
        <w:spacing w:after="0" w:line="240" w:lineRule="auto"/>
        <w:rPr>
          <w:rFonts w:ascii="inherit" w:eastAsia="Times New Roman" w:hAnsi="inherit" w:cs="Segoe UI"/>
          <w:color w:val="0B0C1D"/>
          <w:sz w:val="20"/>
          <w:szCs w:val="20"/>
          <w:lang w:val="en" w:eastAsia="en-AU"/>
        </w:rPr>
      </w:pPr>
      <w:r w:rsidRPr="00415B3A">
        <w:rPr>
          <w:rFonts w:ascii="inherit" w:eastAsia="Times New Roman" w:hAnsi="inherit" w:cs="Segoe UI"/>
          <w:color w:val="0B0C1D"/>
          <w:sz w:val="20"/>
          <w:szCs w:val="20"/>
          <w:lang w:val="en" w:eastAsia="en-AU"/>
        </w:rPr>
        <w:t>Where an application for study leave does not satisfy the criteria set out above, the employee may wish to make an application for leave without pay under clause 6.18.1(1) of Ministerial Order 1038. In this case the period of leave without pay will not count as service.</w:t>
      </w:r>
    </w:p>
    <w:p w:rsidR="00415B3A" w:rsidRPr="00415B3A" w:rsidRDefault="00415B3A" w:rsidP="00415B3A">
      <w:pPr>
        <w:spacing w:after="0" w:line="240" w:lineRule="auto"/>
        <w:rPr>
          <w:rFonts w:ascii="inherit" w:eastAsia="Times New Roman" w:hAnsi="inherit" w:cs="Segoe UI"/>
          <w:color w:val="0B0C1D"/>
          <w:sz w:val="20"/>
          <w:szCs w:val="20"/>
          <w:lang w:val="en" w:eastAsia="en-AU"/>
        </w:rPr>
      </w:pPr>
      <w:r w:rsidRPr="00415B3A">
        <w:rPr>
          <w:rFonts w:ascii="inherit" w:eastAsia="Times New Roman" w:hAnsi="inherit" w:cs="Segoe UI"/>
          <w:color w:val="0B0C1D"/>
          <w:sz w:val="20"/>
          <w:szCs w:val="20"/>
          <w:lang w:val="en" w:eastAsia="en-AU"/>
        </w:rPr>
        <w:br/>
        <w:t> </w:t>
      </w:r>
    </w:p>
    <w:p w:rsidR="00415B3A" w:rsidRPr="00415B3A" w:rsidRDefault="00415B3A" w:rsidP="00415B3A">
      <w:pPr>
        <w:spacing w:after="0" w:line="240" w:lineRule="auto"/>
        <w:jc w:val="center"/>
        <w:rPr>
          <w:rFonts w:ascii="inherit" w:eastAsia="Times New Roman" w:hAnsi="inherit" w:cs="Segoe UI"/>
          <w:color w:val="0B0C1D"/>
          <w:sz w:val="20"/>
          <w:szCs w:val="20"/>
          <w:lang w:val="en" w:eastAsia="en-AU"/>
        </w:rPr>
      </w:pPr>
      <w:r w:rsidRPr="00415B3A">
        <w:rPr>
          <w:rFonts w:ascii="inherit" w:eastAsia="Times New Roman" w:hAnsi="inherit" w:cs="Segoe UI"/>
          <w:color w:val="0B0C1D"/>
          <w:sz w:val="20"/>
          <w:szCs w:val="20"/>
          <w:lang w:val="en" w:eastAsia="en-AU"/>
        </w:rPr>
        <w:t xml:space="preserve">Teaching Service | </w:t>
      </w:r>
      <w:hyperlink r:id="rId6" w:history="1">
        <w:r w:rsidRPr="00415B3A">
          <w:rPr>
            <w:rFonts w:ascii="inherit" w:eastAsia="Times New Roman" w:hAnsi="inherit" w:cs="Segoe UI"/>
            <w:color w:val="0000FF"/>
            <w:sz w:val="20"/>
            <w:szCs w:val="20"/>
            <w:u w:val="single"/>
            <w:lang w:val="en" w:eastAsia="en-AU"/>
          </w:rPr>
          <w:t>Public Service</w:t>
        </w:r>
      </w:hyperlink>
    </w:p>
    <w:p w:rsidR="00415B3A" w:rsidRPr="00415B3A" w:rsidRDefault="00415B3A" w:rsidP="00415B3A">
      <w:pPr>
        <w:spacing w:after="0" w:line="240" w:lineRule="auto"/>
        <w:outlineLvl w:val="1"/>
        <w:rPr>
          <w:rFonts w:ascii="inherit" w:eastAsia="Times New Roman" w:hAnsi="inherit" w:cs="Segoe UI Semilight"/>
          <w:b/>
          <w:bCs/>
          <w:color w:val="262626"/>
          <w:sz w:val="29"/>
          <w:szCs w:val="29"/>
          <w:lang w:val="en" w:eastAsia="en-AU"/>
        </w:rPr>
      </w:pPr>
      <w:r w:rsidRPr="00415B3A">
        <w:rPr>
          <w:rFonts w:ascii="inherit" w:eastAsia="Times New Roman" w:hAnsi="inherit" w:cs="Segoe UI Semilight"/>
          <w:b/>
          <w:bCs/>
          <w:color w:val="262626"/>
          <w:sz w:val="29"/>
          <w:szCs w:val="29"/>
          <w:lang w:val="en" w:eastAsia="en-AU"/>
        </w:rPr>
        <w:t>Other Resources</w:t>
      </w:r>
    </w:p>
    <w:p w:rsidR="00415B3A" w:rsidRPr="00415B3A" w:rsidRDefault="00415B3A" w:rsidP="00415B3A">
      <w:pPr>
        <w:spacing w:after="0" w:line="240" w:lineRule="auto"/>
        <w:rPr>
          <w:rFonts w:ascii="inherit" w:eastAsia="Times New Roman" w:hAnsi="inherit" w:cs="Segoe UI"/>
          <w:color w:val="0B0C1D"/>
          <w:sz w:val="20"/>
          <w:szCs w:val="20"/>
          <w:lang w:val="en" w:eastAsia="en-AU"/>
        </w:rPr>
      </w:pPr>
      <w:r w:rsidRPr="00415B3A">
        <w:rPr>
          <w:rFonts w:ascii="inherit" w:eastAsia="Times New Roman" w:hAnsi="inherit" w:cs="Segoe UI"/>
          <w:b/>
          <w:bCs/>
          <w:color w:val="0B0C1D"/>
          <w:sz w:val="20"/>
          <w:szCs w:val="20"/>
          <w:lang w:val="en" w:eastAsia="en-AU"/>
        </w:rPr>
        <w:t>Procedures &amp; Forms</w:t>
      </w:r>
    </w:p>
    <w:p w:rsidR="00415B3A" w:rsidRPr="00415B3A" w:rsidRDefault="00415B3A" w:rsidP="00415B3A">
      <w:pPr>
        <w:spacing w:after="0" w:line="240" w:lineRule="auto"/>
        <w:rPr>
          <w:rFonts w:ascii="inherit" w:eastAsia="Times New Roman" w:hAnsi="inherit" w:cs="Segoe UI"/>
          <w:color w:val="0B0C1D"/>
          <w:sz w:val="20"/>
          <w:szCs w:val="20"/>
          <w:lang w:val="en" w:eastAsia="en-AU"/>
        </w:rPr>
      </w:pPr>
      <w:r w:rsidRPr="00415B3A">
        <w:rPr>
          <w:rFonts w:ascii="inherit" w:eastAsia="Times New Roman" w:hAnsi="inherit" w:cs="Segoe UI"/>
          <w:color w:val="0B0C1D"/>
          <w:sz w:val="20"/>
          <w:szCs w:val="20"/>
          <w:lang w:val="en" w:eastAsia="en-AU"/>
        </w:rPr>
        <w:t>The following applies in relation to applying for leave:</w:t>
      </w:r>
    </w:p>
    <w:p w:rsidR="00415B3A" w:rsidRPr="00415B3A" w:rsidRDefault="00415B3A" w:rsidP="00415B3A">
      <w:pPr>
        <w:numPr>
          <w:ilvl w:val="0"/>
          <w:numId w:val="4"/>
        </w:numPr>
        <w:spacing w:after="0" w:line="240" w:lineRule="auto"/>
        <w:ind w:left="0"/>
        <w:rPr>
          <w:rFonts w:ascii="inherit" w:eastAsia="Times New Roman" w:hAnsi="inherit" w:cs="Segoe UI"/>
          <w:color w:val="0B0C1D"/>
          <w:sz w:val="20"/>
          <w:szCs w:val="20"/>
          <w:lang w:val="en" w:eastAsia="en-AU"/>
        </w:rPr>
      </w:pPr>
      <w:r w:rsidRPr="00415B3A">
        <w:rPr>
          <w:rFonts w:ascii="inherit" w:eastAsia="Times New Roman" w:hAnsi="inherit" w:cs="Segoe UI"/>
          <w:color w:val="0B0C1D"/>
          <w:sz w:val="20"/>
          <w:szCs w:val="20"/>
          <w:lang w:val="en" w:eastAsia="en-AU"/>
        </w:rPr>
        <w:lastRenderedPageBreak/>
        <w:t xml:space="preserve">Applications for leave should be submitted through Employee Self Service (ESS).  Select the following link for more information </w:t>
      </w:r>
      <w:hyperlink r:id="rId7" w:history="1">
        <w:r w:rsidRPr="00415B3A">
          <w:rPr>
            <w:rFonts w:ascii="Times New Roman" w:eastAsia="Times New Roman" w:hAnsi="Times New Roman" w:cs="Segoe UI"/>
            <w:color w:val="0000FF"/>
            <w:sz w:val="20"/>
            <w:szCs w:val="20"/>
            <w:u w:val="single"/>
            <w:lang w:val="en" w:eastAsia="en-AU"/>
          </w:rPr>
          <w:t>ESS eduPay</w:t>
        </w:r>
      </w:hyperlink>
    </w:p>
    <w:p w:rsidR="00415B3A" w:rsidRPr="00415B3A" w:rsidRDefault="00415B3A" w:rsidP="00415B3A">
      <w:pPr>
        <w:numPr>
          <w:ilvl w:val="0"/>
          <w:numId w:val="4"/>
        </w:numPr>
        <w:spacing w:after="0" w:line="240" w:lineRule="auto"/>
        <w:ind w:left="0"/>
        <w:rPr>
          <w:rFonts w:ascii="inherit" w:eastAsia="Times New Roman" w:hAnsi="inherit" w:cs="Segoe UI"/>
          <w:color w:val="0B0C1D"/>
          <w:sz w:val="20"/>
          <w:szCs w:val="20"/>
          <w:lang w:val="en" w:eastAsia="en-AU"/>
        </w:rPr>
      </w:pPr>
      <w:r w:rsidRPr="00415B3A">
        <w:rPr>
          <w:rFonts w:ascii="inherit" w:eastAsia="Times New Roman" w:hAnsi="inherit" w:cs="Segoe UI"/>
          <w:color w:val="0B0C1D"/>
          <w:sz w:val="20"/>
          <w:szCs w:val="20"/>
          <w:lang w:val="en" w:eastAsia="en-AU"/>
        </w:rPr>
        <w:t>An application will need to be made in writing where an employee is unable to access or use ESS or wishes to amend/delete leave submitted through ESS and approved on eduPay.</w:t>
      </w:r>
    </w:p>
    <w:p w:rsidR="00415B3A" w:rsidRPr="00415B3A" w:rsidRDefault="00415B3A" w:rsidP="00415B3A">
      <w:pPr>
        <w:numPr>
          <w:ilvl w:val="0"/>
          <w:numId w:val="4"/>
        </w:numPr>
        <w:spacing w:after="0" w:line="240" w:lineRule="auto"/>
        <w:ind w:left="0"/>
        <w:rPr>
          <w:rFonts w:ascii="inherit" w:eastAsia="Times New Roman" w:hAnsi="inherit" w:cs="Segoe UI"/>
          <w:color w:val="0B0C1D"/>
          <w:sz w:val="20"/>
          <w:szCs w:val="20"/>
          <w:lang w:val="en" w:eastAsia="en-AU"/>
        </w:rPr>
      </w:pPr>
      <w:r w:rsidRPr="00415B3A">
        <w:rPr>
          <w:rFonts w:ascii="inherit" w:eastAsia="Times New Roman" w:hAnsi="inherit" w:cs="Segoe UI"/>
          <w:color w:val="0B0C1D"/>
          <w:sz w:val="20"/>
          <w:szCs w:val="20"/>
          <w:lang w:val="en" w:eastAsia="en-AU"/>
        </w:rPr>
        <w:t>Application for Study and Related Leave  (</w:t>
      </w:r>
      <w:hyperlink r:id="rId8" w:history="1">
        <w:r w:rsidRPr="00415B3A">
          <w:rPr>
            <w:rFonts w:ascii="inherit" w:eastAsia="Times New Roman" w:hAnsi="inherit" w:cs="Segoe UI"/>
            <w:noProof/>
            <w:color w:val="0000FF"/>
            <w:sz w:val="20"/>
            <w:szCs w:val="20"/>
            <w:lang w:eastAsia="en-AU"/>
          </w:rPr>
          <w:drawing>
            <wp:inline distT="0" distB="0" distL="0" distR="0">
              <wp:extent cx="152400" cy="152400"/>
              <wp:effectExtent l="0" t="0" r="0" b="0"/>
              <wp:docPr id="1" name="Picture 1" descr="https://www.education.vic.gov.au/_layouts/images/icdocx.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ducation.vic.gov.au/_layouts/images/icdocx.pn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15B3A">
          <w:rPr>
            <w:rFonts w:ascii="Times New Roman" w:eastAsia="Times New Roman" w:hAnsi="Times New Roman" w:cs="Segoe UI"/>
            <w:color w:val="0000FF"/>
            <w:sz w:val="20"/>
            <w:szCs w:val="20"/>
            <w:u w:val="single"/>
            <w:lang w:val="en" w:eastAsia="en-AU"/>
          </w:rPr>
          <w:t>WORD</w:t>
        </w:r>
      </w:hyperlink>
      <w:r w:rsidRPr="00415B3A">
        <w:rPr>
          <w:rFonts w:ascii="inherit" w:eastAsia="Times New Roman" w:hAnsi="inherit" w:cs="Segoe UI"/>
          <w:color w:val="0B0C1D"/>
          <w:sz w:val="20"/>
          <w:szCs w:val="20"/>
          <w:lang w:val="en" w:eastAsia="en-AU"/>
        </w:rPr>
        <w:t xml:space="preserve">)  </w:t>
      </w:r>
    </w:p>
    <w:p w:rsidR="00415B3A" w:rsidRPr="00415B3A" w:rsidRDefault="00415B3A" w:rsidP="00415B3A">
      <w:pPr>
        <w:spacing w:after="0" w:line="240" w:lineRule="auto"/>
        <w:rPr>
          <w:rFonts w:ascii="inherit" w:eastAsia="Times New Roman" w:hAnsi="inherit" w:cs="Segoe UI"/>
          <w:color w:val="0B0C1D"/>
          <w:sz w:val="20"/>
          <w:szCs w:val="20"/>
          <w:lang w:val="en" w:eastAsia="en-AU"/>
        </w:rPr>
      </w:pPr>
      <w:r w:rsidRPr="00415B3A">
        <w:rPr>
          <w:rFonts w:ascii="inherit" w:eastAsia="Times New Roman" w:hAnsi="inherit" w:cs="Segoe UI"/>
          <w:b/>
          <w:bCs/>
          <w:color w:val="0B0C1D"/>
          <w:sz w:val="20"/>
          <w:szCs w:val="20"/>
          <w:lang w:val="en" w:eastAsia="en-AU"/>
        </w:rPr>
        <w:t>Legislation</w:t>
      </w:r>
    </w:p>
    <w:p w:rsidR="00415B3A" w:rsidRPr="00415B3A" w:rsidRDefault="00415B3A" w:rsidP="00415B3A">
      <w:pPr>
        <w:numPr>
          <w:ilvl w:val="0"/>
          <w:numId w:val="5"/>
        </w:numPr>
        <w:spacing w:after="0" w:line="240" w:lineRule="auto"/>
        <w:ind w:left="0"/>
        <w:rPr>
          <w:rFonts w:ascii="inherit" w:eastAsia="Times New Roman" w:hAnsi="inherit" w:cs="Segoe UI"/>
          <w:color w:val="0B0C1D"/>
          <w:sz w:val="20"/>
          <w:szCs w:val="20"/>
          <w:lang w:val="en" w:eastAsia="en-AU"/>
        </w:rPr>
      </w:pPr>
      <w:hyperlink r:id="rId10" w:history="1">
        <w:r w:rsidRPr="00415B3A">
          <w:rPr>
            <w:rFonts w:ascii="Times New Roman" w:eastAsia="Times New Roman" w:hAnsi="Times New Roman" w:cs="Segoe UI"/>
            <w:color w:val="0000FF"/>
            <w:sz w:val="20"/>
            <w:szCs w:val="20"/>
            <w:u w:val="single"/>
            <w:lang w:val="en" w:eastAsia="en-AU"/>
          </w:rPr>
          <w:t>Legislation</w:t>
        </w:r>
      </w:hyperlink>
    </w:p>
    <w:p w:rsidR="00415B3A" w:rsidRPr="00415B3A" w:rsidRDefault="00415B3A" w:rsidP="00415B3A">
      <w:pPr>
        <w:numPr>
          <w:ilvl w:val="0"/>
          <w:numId w:val="5"/>
        </w:numPr>
        <w:spacing w:after="0" w:line="240" w:lineRule="auto"/>
        <w:ind w:left="0"/>
        <w:rPr>
          <w:rFonts w:ascii="inherit" w:eastAsia="Times New Roman" w:hAnsi="inherit" w:cs="Segoe UI"/>
          <w:color w:val="0B0C1D"/>
          <w:sz w:val="20"/>
          <w:szCs w:val="20"/>
          <w:lang w:val="en" w:eastAsia="en-AU"/>
        </w:rPr>
      </w:pPr>
      <w:hyperlink r:id="rId11" w:history="1">
        <w:r w:rsidRPr="00415B3A">
          <w:rPr>
            <w:rFonts w:ascii="Times New Roman" w:eastAsia="Times New Roman" w:hAnsi="Times New Roman" w:cs="Segoe UI"/>
            <w:color w:val="0000FF"/>
            <w:sz w:val="20"/>
            <w:szCs w:val="20"/>
            <w:u w:val="single"/>
            <w:lang w:val="en" w:eastAsia="en-AU"/>
          </w:rPr>
          <w:t>Industrial Awards</w:t>
        </w:r>
      </w:hyperlink>
    </w:p>
    <w:p w:rsidR="00415B3A" w:rsidRPr="00415B3A" w:rsidRDefault="00415B3A" w:rsidP="00415B3A">
      <w:pPr>
        <w:numPr>
          <w:ilvl w:val="0"/>
          <w:numId w:val="5"/>
        </w:numPr>
        <w:spacing w:after="0" w:line="240" w:lineRule="auto"/>
        <w:ind w:left="0"/>
        <w:rPr>
          <w:rFonts w:ascii="inherit" w:eastAsia="Times New Roman" w:hAnsi="inherit" w:cs="Segoe UI"/>
          <w:color w:val="0B0C1D"/>
          <w:sz w:val="20"/>
          <w:szCs w:val="20"/>
          <w:lang w:val="en" w:eastAsia="en-AU"/>
        </w:rPr>
      </w:pPr>
      <w:hyperlink r:id="rId12" w:history="1">
        <w:r w:rsidRPr="00415B3A">
          <w:rPr>
            <w:rFonts w:ascii="Times New Roman" w:eastAsia="Times New Roman" w:hAnsi="Times New Roman" w:cs="Segoe UI"/>
            <w:color w:val="0000FF"/>
            <w:sz w:val="20"/>
            <w:szCs w:val="20"/>
            <w:u w:val="single"/>
            <w:lang w:val="en" w:eastAsia="en-AU"/>
          </w:rPr>
          <w:t>Industrial Agreements</w:t>
        </w:r>
      </w:hyperlink>
    </w:p>
    <w:p w:rsidR="00415B3A" w:rsidRPr="00415B3A" w:rsidRDefault="00415B3A" w:rsidP="00415B3A">
      <w:pPr>
        <w:numPr>
          <w:ilvl w:val="0"/>
          <w:numId w:val="5"/>
        </w:numPr>
        <w:spacing w:after="0" w:line="240" w:lineRule="auto"/>
        <w:ind w:left="0"/>
        <w:rPr>
          <w:rFonts w:ascii="inherit" w:eastAsia="Times New Roman" w:hAnsi="inherit" w:cs="Segoe UI"/>
          <w:color w:val="0B0C1D"/>
          <w:sz w:val="20"/>
          <w:szCs w:val="20"/>
          <w:lang w:val="en" w:eastAsia="en-AU"/>
        </w:rPr>
      </w:pPr>
      <w:hyperlink r:id="rId13" w:history="1">
        <w:r w:rsidRPr="00415B3A">
          <w:rPr>
            <w:rFonts w:ascii="Times New Roman" w:eastAsia="Times New Roman" w:hAnsi="Times New Roman" w:cs="Segoe UI"/>
            <w:color w:val="0000FF"/>
            <w:sz w:val="20"/>
            <w:szCs w:val="20"/>
            <w:u w:val="single"/>
            <w:lang w:val="en" w:eastAsia="en-AU"/>
          </w:rPr>
          <w:t>Ministerial Orders</w:t>
        </w:r>
      </w:hyperlink>
    </w:p>
    <w:p w:rsidR="00415B3A" w:rsidRPr="00415B3A" w:rsidRDefault="00415B3A" w:rsidP="00415B3A">
      <w:pPr>
        <w:numPr>
          <w:ilvl w:val="0"/>
          <w:numId w:val="5"/>
        </w:numPr>
        <w:spacing w:after="0" w:line="240" w:lineRule="auto"/>
        <w:ind w:left="0"/>
        <w:rPr>
          <w:rFonts w:ascii="inherit" w:eastAsia="Times New Roman" w:hAnsi="inherit" w:cs="Segoe UI"/>
          <w:color w:val="0B0C1D"/>
          <w:sz w:val="20"/>
          <w:szCs w:val="20"/>
          <w:lang w:val="en" w:eastAsia="en-AU"/>
        </w:rPr>
      </w:pPr>
      <w:hyperlink r:id="rId14" w:history="1">
        <w:r w:rsidRPr="00415B3A">
          <w:rPr>
            <w:rFonts w:ascii="Times New Roman" w:eastAsia="Times New Roman" w:hAnsi="Times New Roman" w:cs="Segoe UI"/>
            <w:color w:val="0000FF"/>
            <w:sz w:val="20"/>
            <w:szCs w:val="20"/>
            <w:u w:val="single"/>
            <w:lang w:val="en" w:eastAsia="en-AU"/>
          </w:rPr>
          <w:t>Delegations</w:t>
        </w:r>
      </w:hyperlink>
    </w:p>
    <w:p w:rsidR="00415B3A" w:rsidRPr="00415B3A" w:rsidRDefault="00415B3A" w:rsidP="00415B3A">
      <w:pPr>
        <w:spacing w:after="0" w:line="240" w:lineRule="auto"/>
        <w:rPr>
          <w:rFonts w:ascii="inherit" w:eastAsia="Times New Roman" w:hAnsi="inherit" w:cs="Segoe UI"/>
          <w:color w:val="0B0C1D"/>
          <w:sz w:val="20"/>
          <w:szCs w:val="20"/>
          <w:lang w:val="en" w:eastAsia="en-AU"/>
        </w:rPr>
      </w:pPr>
      <w:r w:rsidRPr="00415B3A">
        <w:rPr>
          <w:rFonts w:ascii="inherit" w:eastAsia="Times New Roman" w:hAnsi="inherit" w:cs="Segoe UI"/>
          <w:b/>
          <w:bCs/>
          <w:color w:val="0B0C1D"/>
          <w:sz w:val="20"/>
          <w:szCs w:val="20"/>
          <w:lang w:val="en" w:eastAsia="en-AU"/>
        </w:rPr>
        <w:t>Related Topics</w:t>
      </w:r>
    </w:p>
    <w:p w:rsidR="00415B3A" w:rsidRPr="00415B3A" w:rsidRDefault="00415B3A" w:rsidP="00415B3A">
      <w:pPr>
        <w:numPr>
          <w:ilvl w:val="0"/>
          <w:numId w:val="6"/>
        </w:numPr>
        <w:spacing w:after="0" w:line="240" w:lineRule="auto"/>
        <w:ind w:left="0"/>
        <w:rPr>
          <w:rFonts w:ascii="inherit" w:eastAsia="Times New Roman" w:hAnsi="inherit" w:cs="Segoe UI"/>
          <w:color w:val="0B0C1D"/>
          <w:sz w:val="20"/>
          <w:szCs w:val="20"/>
          <w:lang w:val="en" w:eastAsia="en-AU"/>
        </w:rPr>
      </w:pPr>
      <w:hyperlink r:id="rId15" w:history="1">
        <w:r w:rsidRPr="00415B3A">
          <w:rPr>
            <w:rFonts w:ascii="Times New Roman" w:eastAsia="Times New Roman" w:hAnsi="Times New Roman" w:cs="Segoe UI"/>
            <w:color w:val="0000FF"/>
            <w:sz w:val="20"/>
            <w:szCs w:val="20"/>
            <w:u w:val="single"/>
            <w:lang w:val="en" w:eastAsia="en-AU"/>
          </w:rPr>
          <w:t>Leave without pay</w:t>
        </w:r>
      </w:hyperlink>
    </w:p>
    <w:p w:rsidR="00415B3A" w:rsidRPr="00415B3A" w:rsidRDefault="00415B3A" w:rsidP="00415B3A">
      <w:pPr>
        <w:spacing w:after="0" w:line="240" w:lineRule="auto"/>
        <w:rPr>
          <w:rFonts w:ascii="inherit" w:eastAsia="Times New Roman" w:hAnsi="inherit" w:cs="Segoe UI"/>
          <w:color w:val="0B0C1D"/>
          <w:sz w:val="20"/>
          <w:szCs w:val="20"/>
          <w:lang w:val="en" w:eastAsia="en-AU"/>
        </w:rPr>
      </w:pPr>
      <w:hyperlink r:id="rId16" w:history="1">
        <w:r w:rsidRPr="00415B3A">
          <w:rPr>
            <w:rFonts w:ascii="inherit" w:eastAsia="Times New Roman" w:hAnsi="inherit" w:cs="Segoe UI"/>
            <w:color w:val="0000FF"/>
            <w:sz w:val="20"/>
            <w:szCs w:val="20"/>
            <w:u w:val="single"/>
            <w:lang w:val="en" w:eastAsia="en-AU"/>
          </w:rPr>
          <w:t>Contact Information</w:t>
        </w:r>
      </w:hyperlink>
    </w:p>
    <w:p w:rsidR="009741EE" w:rsidRDefault="009741EE" w:rsidP="00415B3A">
      <w:pPr>
        <w:pStyle w:val="NoSpacing"/>
      </w:pPr>
      <w:bookmarkStart w:id="0" w:name="_GoBack"/>
      <w:bookmarkEnd w:id="0"/>
    </w:p>
    <w:sectPr w:rsidR="009741EE" w:rsidSect="00415B3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Segoe UI Light">
    <w:panose1 w:val="020B05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Vic">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61956"/>
    <w:multiLevelType w:val="multilevel"/>
    <w:tmpl w:val="3ADEA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AD74B8"/>
    <w:multiLevelType w:val="multilevel"/>
    <w:tmpl w:val="1DFA8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0A9060C"/>
    <w:multiLevelType w:val="multilevel"/>
    <w:tmpl w:val="746A7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3C51EB"/>
    <w:multiLevelType w:val="multilevel"/>
    <w:tmpl w:val="CD6A0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326B6C"/>
    <w:multiLevelType w:val="multilevel"/>
    <w:tmpl w:val="A4C83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820266"/>
    <w:multiLevelType w:val="multilevel"/>
    <w:tmpl w:val="5EAC4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5"/>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B3A"/>
    <w:rsid w:val="00415B3A"/>
    <w:rsid w:val="009741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7FAE11-DA07-4B92-AAA7-4CDC49E59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15B3A"/>
    <w:pPr>
      <w:spacing w:after="0" w:line="240" w:lineRule="auto"/>
      <w:outlineLvl w:val="0"/>
    </w:pPr>
    <w:rPr>
      <w:rFonts w:ascii="inherit" w:eastAsia="Times New Roman" w:hAnsi="inherit" w:cs="Segoe UI Light"/>
      <w:b/>
      <w:bCs/>
      <w:color w:val="201647"/>
      <w:spacing w:val="-9"/>
      <w:kern w:val="36"/>
      <w:sz w:val="55"/>
      <w:szCs w:val="55"/>
      <w:lang w:eastAsia="en-AU"/>
    </w:rPr>
  </w:style>
  <w:style w:type="paragraph" w:styleId="Heading2">
    <w:name w:val="heading 2"/>
    <w:basedOn w:val="Normal"/>
    <w:link w:val="Heading2Char"/>
    <w:uiPriority w:val="9"/>
    <w:qFormat/>
    <w:rsid w:val="00415B3A"/>
    <w:pPr>
      <w:spacing w:after="0" w:line="240" w:lineRule="auto"/>
      <w:outlineLvl w:val="1"/>
    </w:pPr>
    <w:rPr>
      <w:rFonts w:ascii="inherit" w:eastAsia="Times New Roman" w:hAnsi="inherit" w:cs="Segoe UI Semilight"/>
      <w:b/>
      <w:bCs/>
      <w:color w:val="262626"/>
      <w:sz w:val="35"/>
      <w:szCs w:val="35"/>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5B3A"/>
    <w:pPr>
      <w:spacing w:after="0" w:line="240" w:lineRule="auto"/>
    </w:pPr>
  </w:style>
  <w:style w:type="character" w:customStyle="1" w:styleId="Heading1Char">
    <w:name w:val="Heading 1 Char"/>
    <w:basedOn w:val="DefaultParagraphFont"/>
    <w:link w:val="Heading1"/>
    <w:uiPriority w:val="9"/>
    <w:rsid w:val="00415B3A"/>
    <w:rPr>
      <w:rFonts w:ascii="inherit" w:eastAsia="Times New Roman" w:hAnsi="inherit" w:cs="Segoe UI Light"/>
      <w:b/>
      <w:bCs/>
      <w:color w:val="201647"/>
      <w:spacing w:val="-9"/>
      <w:kern w:val="36"/>
      <w:sz w:val="55"/>
      <w:szCs w:val="55"/>
      <w:lang w:eastAsia="en-AU"/>
    </w:rPr>
  </w:style>
  <w:style w:type="character" w:customStyle="1" w:styleId="Heading2Char">
    <w:name w:val="Heading 2 Char"/>
    <w:basedOn w:val="DefaultParagraphFont"/>
    <w:link w:val="Heading2"/>
    <w:uiPriority w:val="9"/>
    <w:rsid w:val="00415B3A"/>
    <w:rPr>
      <w:rFonts w:ascii="inherit" w:eastAsia="Times New Roman" w:hAnsi="inherit" w:cs="Segoe UI Semilight"/>
      <w:b/>
      <w:bCs/>
      <w:color w:val="262626"/>
      <w:sz w:val="35"/>
      <w:szCs w:val="35"/>
      <w:lang w:eastAsia="en-AU"/>
    </w:rPr>
  </w:style>
  <w:style w:type="character" w:styleId="Hyperlink">
    <w:name w:val="Hyperlink"/>
    <w:basedOn w:val="DefaultParagraphFont"/>
    <w:uiPriority w:val="99"/>
    <w:semiHidden/>
    <w:unhideWhenUsed/>
    <w:rsid w:val="00415B3A"/>
    <w:rPr>
      <w:color w:val="0000FF"/>
      <w:u w:val="single"/>
      <w:shd w:val="clear" w:color="auto" w:fill="auto"/>
    </w:rPr>
  </w:style>
  <w:style w:type="character" w:styleId="Strong">
    <w:name w:val="Strong"/>
    <w:basedOn w:val="DefaultParagraphFont"/>
    <w:uiPriority w:val="22"/>
    <w:qFormat/>
    <w:rsid w:val="00415B3A"/>
    <w:rPr>
      <w:b/>
      <w:bCs/>
    </w:rPr>
  </w:style>
  <w:style w:type="paragraph" w:styleId="NormalWeb">
    <w:name w:val="Normal (Web)"/>
    <w:basedOn w:val="Normal"/>
    <w:uiPriority w:val="99"/>
    <w:semiHidden/>
    <w:unhideWhenUsed/>
    <w:rsid w:val="00415B3A"/>
    <w:pPr>
      <w:spacing w:after="0" w:line="240" w:lineRule="auto"/>
    </w:pPr>
    <w:rPr>
      <w:rFonts w:ascii="inherit" w:eastAsia="Times New Roman" w:hAnsi="inherit" w:cs="Times New Roman"/>
      <w:sz w:val="24"/>
      <w:szCs w:val="24"/>
      <w:lang w:eastAsia="en-AU"/>
    </w:rPr>
  </w:style>
  <w:style w:type="paragraph" w:customStyle="1" w:styleId="middle">
    <w:name w:val="middle"/>
    <w:basedOn w:val="Normal"/>
    <w:rsid w:val="00415B3A"/>
    <w:pPr>
      <w:spacing w:after="0" w:line="240" w:lineRule="auto"/>
    </w:pPr>
    <w:rPr>
      <w:rFonts w:ascii="inherit" w:eastAsia="Times New Roman" w:hAnsi="inherit"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923991">
      <w:bodyDiv w:val="1"/>
      <w:marLeft w:val="0"/>
      <w:marRight w:val="0"/>
      <w:marTop w:val="0"/>
      <w:marBottom w:val="0"/>
      <w:divBdr>
        <w:top w:val="none" w:sz="0" w:space="0" w:color="auto"/>
        <w:left w:val="none" w:sz="0" w:space="0" w:color="auto"/>
        <w:bottom w:val="none" w:sz="0" w:space="0" w:color="auto"/>
        <w:right w:val="none" w:sz="0" w:space="0" w:color="auto"/>
      </w:divBdr>
      <w:divsChild>
        <w:div w:id="1689405762">
          <w:marLeft w:val="0"/>
          <w:marRight w:val="0"/>
          <w:marTop w:val="0"/>
          <w:marBottom w:val="0"/>
          <w:divBdr>
            <w:top w:val="none" w:sz="0" w:space="0" w:color="auto"/>
            <w:left w:val="none" w:sz="0" w:space="0" w:color="auto"/>
            <w:bottom w:val="none" w:sz="0" w:space="0" w:color="auto"/>
            <w:right w:val="none" w:sz="0" w:space="0" w:color="auto"/>
          </w:divBdr>
          <w:divsChild>
            <w:div w:id="1773360130">
              <w:marLeft w:val="0"/>
              <w:marRight w:val="0"/>
              <w:marTop w:val="0"/>
              <w:marBottom w:val="0"/>
              <w:divBdr>
                <w:top w:val="none" w:sz="0" w:space="0" w:color="auto"/>
                <w:left w:val="none" w:sz="0" w:space="0" w:color="auto"/>
                <w:bottom w:val="none" w:sz="0" w:space="0" w:color="auto"/>
                <w:right w:val="none" w:sz="0" w:space="0" w:color="auto"/>
              </w:divBdr>
              <w:divsChild>
                <w:div w:id="1579094360">
                  <w:marLeft w:val="0"/>
                  <w:marRight w:val="0"/>
                  <w:marTop w:val="0"/>
                  <w:marBottom w:val="0"/>
                  <w:divBdr>
                    <w:top w:val="none" w:sz="0" w:space="0" w:color="auto"/>
                    <w:left w:val="none" w:sz="0" w:space="0" w:color="auto"/>
                    <w:bottom w:val="none" w:sz="0" w:space="0" w:color="auto"/>
                    <w:right w:val="none" w:sz="0" w:space="0" w:color="auto"/>
                  </w:divBdr>
                  <w:divsChild>
                    <w:div w:id="1067413841">
                      <w:marLeft w:val="0"/>
                      <w:marRight w:val="0"/>
                      <w:marTop w:val="0"/>
                      <w:marBottom w:val="0"/>
                      <w:divBdr>
                        <w:top w:val="none" w:sz="0" w:space="0" w:color="auto"/>
                        <w:left w:val="none" w:sz="0" w:space="0" w:color="auto"/>
                        <w:bottom w:val="none" w:sz="0" w:space="0" w:color="auto"/>
                        <w:right w:val="none" w:sz="0" w:space="0" w:color="auto"/>
                      </w:divBdr>
                      <w:divsChild>
                        <w:div w:id="804545608">
                          <w:marLeft w:val="0"/>
                          <w:marRight w:val="0"/>
                          <w:marTop w:val="0"/>
                          <w:marBottom w:val="0"/>
                          <w:divBdr>
                            <w:top w:val="none" w:sz="0" w:space="0" w:color="auto"/>
                            <w:left w:val="none" w:sz="0" w:space="0" w:color="auto"/>
                            <w:bottom w:val="none" w:sz="0" w:space="0" w:color="auto"/>
                            <w:right w:val="none" w:sz="0" w:space="0" w:color="auto"/>
                          </w:divBdr>
                          <w:divsChild>
                            <w:div w:id="250630524">
                              <w:marLeft w:val="0"/>
                              <w:marRight w:val="0"/>
                              <w:marTop w:val="0"/>
                              <w:marBottom w:val="0"/>
                              <w:divBdr>
                                <w:top w:val="none" w:sz="0" w:space="0" w:color="auto"/>
                                <w:left w:val="none" w:sz="0" w:space="0" w:color="auto"/>
                                <w:bottom w:val="none" w:sz="0" w:space="0" w:color="auto"/>
                                <w:right w:val="none" w:sz="0" w:space="0" w:color="auto"/>
                              </w:divBdr>
                              <w:divsChild>
                                <w:div w:id="1453134504">
                                  <w:marLeft w:val="0"/>
                                  <w:marRight w:val="0"/>
                                  <w:marTop w:val="0"/>
                                  <w:marBottom w:val="0"/>
                                  <w:divBdr>
                                    <w:top w:val="none" w:sz="0" w:space="0" w:color="auto"/>
                                    <w:left w:val="none" w:sz="0" w:space="0" w:color="auto"/>
                                    <w:bottom w:val="none" w:sz="0" w:space="0" w:color="auto"/>
                                    <w:right w:val="none" w:sz="0" w:space="0" w:color="auto"/>
                                  </w:divBdr>
                                </w:div>
                                <w:div w:id="107357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cation.vic.gov.au/hrweb/Documents/Application_for_Study_and_Related_Leave.docx" TargetMode="External"/><Relationship Id="rId13" Type="http://schemas.openxmlformats.org/officeDocument/2006/relationships/hyperlink" Target="https://www.education.vic.gov.au/hrweb/employcond/Pages/tso.aspx"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ducation.vic.gov.au/hrweb/Pages/eduPay-help.aspx" TargetMode="External"/><Relationship Id="rId12" Type="http://schemas.openxmlformats.org/officeDocument/2006/relationships/hyperlink" Target="https://www.education.vic.gov.au/hrweb/employcond/Pages/certagree.asp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education.vic.gov.au/hrweb/Pages/contactus.aspx" TargetMode="External"/><Relationship Id="rId1" Type="http://schemas.openxmlformats.org/officeDocument/2006/relationships/numbering" Target="numbering.xml"/><Relationship Id="rId6" Type="http://schemas.openxmlformats.org/officeDocument/2006/relationships/hyperlink" Target="https://www.education.vic.gov.au/hrweb/employcond/Pages/studylvePSS.aspx" TargetMode="External"/><Relationship Id="rId11" Type="http://schemas.openxmlformats.org/officeDocument/2006/relationships/hyperlink" Target="https://www.education.vic.gov.au/hrweb/employcond/Pages/awards.aspx" TargetMode="External"/><Relationship Id="rId5" Type="http://schemas.openxmlformats.org/officeDocument/2006/relationships/hyperlink" Target="https://www.education.vic.gov.au/school/teachers/profdev/Pages/default.aspx" TargetMode="External"/><Relationship Id="rId15" Type="http://schemas.openxmlformats.org/officeDocument/2006/relationships/hyperlink" Target="https://www.education.vic.gov.au/hrweb/employcond/Pages/lwop.aspx" TargetMode="External"/><Relationship Id="rId10" Type="http://schemas.openxmlformats.org/officeDocument/2006/relationships/hyperlink" Target="https://www.education.vic.gov.au/hrweb/employcond/Pages/legislat.aspx"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www.education.vic.gov.au/hrweb/Pages/resources/deleg.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888</Words>
  <Characters>5064</Characters>
  <Application>Microsoft Office Word</Application>
  <DocSecurity>0</DocSecurity>
  <Lines>42</Lines>
  <Paragraphs>11</Paragraphs>
  <ScaleCrop>false</ScaleCrop>
  <Company>Department of Education and Training</Company>
  <LinksUpToDate>false</LinksUpToDate>
  <CharactersWithSpaces>5941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Warner, Stephen R</dc:creator>
  <cp:keywords/>
  <dc:description/>
  <cp:lastModifiedBy>Warner, Stephen R</cp:lastModifiedBy>
  <cp:revision>1</cp:revision>
  <dcterms:created xsi:type="dcterms:W3CDTF">2019-06-18T03:23:00Z</dcterms:created>
  <dcterms:modified xsi:type="dcterms:W3CDTF">2019-06-18T03:23:00Z</dcterms:modified>
</cp:coreProperties>
</file>